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F3B" w:rsidRDefault="003200FE">
      <w:pPr>
        <w:pStyle w:val="Heading1"/>
      </w:pPr>
      <w:bookmarkStart w:id="0" w:name="_ydliglpxdq9p"/>
      <w:bookmarkStart w:id="1" w:name="_GoBack"/>
      <w:bookmarkEnd w:id="0"/>
      <w:bookmarkEnd w:id="1"/>
      <w:r>
        <w:t>Call-Off Schedule 18 (Background Checks)</w:t>
      </w:r>
    </w:p>
    <w:p w:rsidR="003B1F3B" w:rsidRDefault="003200FE">
      <w:pPr>
        <w:pStyle w:val="Standard"/>
        <w:keepNext/>
        <w:widowControl/>
        <w:numPr>
          <w:ilvl w:val="0"/>
          <w:numId w:val="2"/>
        </w:numPr>
        <w:tabs>
          <w:tab w:val="left" w:pos="-578"/>
        </w:tabs>
        <w:spacing w:before="240" w:after="120" w:line="240" w:lineRule="auto"/>
      </w:pPr>
      <w:r>
        <w:rPr>
          <w:rFonts w:ascii="Arial Bold" w:eastAsia="Arial Bold" w:hAnsi="Arial Bold" w:cs="Arial Bold"/>
          <w:b/>
          <w:color w:val="000000"/>
          <w:sz w:val="24"/>
          <w:szCs w:val="24"/>
        </w:rPr>
        <w:t>When you should use this Schedule</w:t>
      </w:r>
    </w:p>
    <w:p w:rsidR="003B1F3B" w:rsidRDefault="003200FE">
      <w:pPr>
        <w:pStyle w:val="Standard"/>
      </w:pPr>
      <w:r>
        <w:rPr>
          <w:rFonts w:ascii="Arial" w:eastAsia="Arial" w:hAnsi="Arial" w:cs="Arial"/>
          <w:sz w:val="24"/>
          <w:szCs w:val="24"/>
        </w:rPr>
        <w:t>This Schedule should be used where Supplier Staff must be vetted before working on Contract.</w:t>
      </w:r>
    </w:p>
    <w:p w:rsidR="003B1F3B" w:rsidRDefault="003200FE">
      <w:pPr>
        <w:pStyle w:val="Standard"/>
        <w:keepNext/>
        <w:widowControl/>
        <w:numPr>
          <w:ilvl w:val="0"/>
          <w:numId w:val="1"/>
        </w:numPr>
        <w:tabs>
          <w:tab w:val="left" w:pos="-578"/>
        </w:tabs>
        <w:spacing w:before="240" w:after="120" w:line="240" w:lineRule="auto"/>
      </w:pPr>
      <w:bookmarkStart w:id="2" w:name="_gjdgxs"/>
      <w:bookmarkEnd w:id="2"/>
      <w:r>
        <w:rPr>
          <w:rFonts w:ascii="Arial Bold" w:eastAsia="Arial Bold" w:hAnsi="Arial Bold" w:cs="Arial Bold"/>
          <w:b/>
          <w:color w:val="000000"/>
          <w:sz w:val="24"/>
          <w:szCs w:val="24"/>
        </w:rPr>
        <w:t>Definitions</w:t>
      </w:r>
    </w:p>
    <w:p w:rsidR="003B1F3B" w:rsidRDefault="003200FE">
      <w:pPr>
        <w:pStyle w:val="Standard"/>
        <w:ind w:left="720"/>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w:t>
      </w:r>
    </w:p>
    <w:p w:rsidR="003B1F3B" w:rsidRDefault="003200FE">
      <w:pPr>
        <w:pStyle w:val="Standard"/>
        <w:widowControl/>
        <w:numPr>
          <w:ilvl w:val="0"/>
          <w:numId w:val="1"/>
        </w:numPr>
        <w:tabs>
          <w:tab w:val="left" w:pos="-578"/>
        </w:tabs>
        <w:spacing w:before="240" w:after="120" w:line="240" w:lineRule="auto"/>
      </w:pPr>
      <w:r>
        <w:rPr>
          <w:rFonts w:ascii="Arial Bold" w:eastAsia="Arial Bold" w:hAnsi="Arial Bold" w:cs="Arial Bold"/>
          <w:b/>
          <w:color w:val="000000"/>
          <w:sz w:val="24"/>
          <w:szCs w:val="24"/>
        </w:rPr>
        <w:t>Relevant Convictions</w:t>
      </w:r>
    </w:p>
    <w:p w:rsidR="003B1F3B" w:rsidRDefault="003200FE">
      <w:pPr>
        <w:pStyle w:val="Standard"/>
        <w:widowControl/>
        <w:numPr>
          <w:ilvl w:val="1"/>
          <w:numId w:val="1"/>
        </w:numPr>
        <w:tabs>
          <w:tab w:val="left" w:pos="381"/>
          <w:tab w:val="left" w:pos="1374"/>
        </w:tabs>
        <w:spacing w:before="120" w:after="120" w:line="240" w:lineRule="auto"/>
      </w:pPr>
      <w:bookmarkStart w:id="3" w:name="_30j0zll"/>
      <w:bookmarkEnd w:id="3"/>
      <w:r>
        <w:rPr>
          <w:rFonts w:ascii="Arial" w:eastAsia="Arial" w:hAnsi="Arial" w:cs="Arial"/>
          <w:color w:val="000000"/>
          <w:sz w:val="24"/>
          <w:szCs w:val="24"/>
        </w:rPr>
        <w:t>The Supplier must ensure that no person who discloses that they have a Relevant Conviction, or a person who is found to have any Relevant Convictions (wheth</w:t>
      </w:r>
      <w:r>
        <w:rPr>
          <w:rFonts w:ascii="Arial" w:eastAsia="Arial" w:hAnsi="Arial" w:cs="Arial"/>
          <w:color w:val="000000"/>
          <w:sz w:val="24"/>
          <w:szCs w:val="24"/>
        </w:rPr>
        <w:t>er as a result of a police check or through the procedure of the Disclosure and Barring Service (DBS) or otherwise), is employed or engaged in any part of the provision of the Deliverables without Approval.</w:t>
      </w:r>
    </w:p>
    <w:p w:rsidR="003B1F3B" w:rsidRDefault="003200FE">
      <w:pPr>
        <w:pStyle w:val="Standard"/>
        <w:widowControl/>
        <w:numPr>
          <w:ilvl w:val="1"/>
          <w:numId w:val="1"/>
        </w:numPr>
        <w:tabs>
          <w:tab w:val="left" w:pos="381"/>
          <w:tab w:val="left" w:pos="1374"/>
        </w:tabs>
        <w:spacing w:before="120" w:after="120" w:line="240" w:lineRule="auto"/>
      </w:pPr>
      <w:bookmarkStart w:id="4" w:name="_1fob9te"/>
      <w:bookmarkEnd w:id="4"/>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w:t>
      </w:r>
      <w:r>
        <w:rPr>
          <w:rFonts w:ascii="Arial" w:eastAsia="Arial" w:hAnsi="Arial" w:cs="Arial"/>
          <w:color w:val="000000"/>
          <w:sz w:val="24"/>
          <w:szCs w:val="24"/>
        </w:rPr>
        <w:t>f Supplier Staff who, in providing the Deliverables, has, will have or is likely to have access to children, vulnerable persons or other members of the public to whom the Buyer owes a special duty of care, the Supplier must (and shall procure that the rele</w:t>
      </w:r>
      <w:r>
        <w:rPr>
          <w:rFonts w:ascii="Arial" w:eastAsia="Arial" w:hAnsi="Arial" w:cs="Arial"/>
          <w:color w:val="000000"/>
          <w:sz w:val="24"/>
          <w:szCs w:val="24"/>
        </w:rPr>
        <w:t>vant Sub-Contractor must):</w:t>
      </w:r>
    </w:p>
    <w:p w:rsidR="003B1F3B" w:rsidRDefault="003200FE">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carry out a check with the records held by the Department for Education (DfE);</w:t>
      </w:r>
    </w:p>
    <w:p w:rsidR="003B1F3B" w:rsidRDefault="003200FE">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conduct thorough questioning regarding any Relevant Convictions; and</w:t>
      </w:r>
    </w:p>
    <w:p w:rsidR="003B1F3B" w:rsidRDefault="003200FE">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 xml:space="preserve">ensure a police check is completed and such other checks as may be carried out </w:t>
      </w:r>
      <w:r>
        <w:rPr>
          <w:rFonts w:ascii="Arial" w:eastAsia="Arial" w:hAnsi="Arial" w:cs="Arial"/>
          <w:color w:val="000000"/>
          <w:sz w:val="24"/>
          <w:szCs w:val="24"/>
        </w:rPr>
        <w:t>through the Disclosure and Barring Service (DBS),</w:t>
      </w:r>
    </w:p>
    <w:p w:rsidR="003B1F3B" w:rsidRDefault="003200FE">
      <w:pPr>
        <w:pStyle w:val="Standard"/>
        <w:widowControl/>
        <w:tabs>
          <w:tab w:val="left" w:pos="4254"/>
        </w:tabs>
        <w:spacing w:before="120" w:after="120" w:line="240" w:lineRule="auto"/>
        <w:ind w:left="2127"/>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w:t>
      </w:r>
      <w:r>
        <w:rPr>
          <w:rFonts w:ascii="Arial" w:eastAsia="Arial" w:hAnsi="Arial" w:cs="Arial"/>
          <w:color w:val="000000"/>
          <w:sz w:val="24"/>
          <w:szCs w:val="24"/>
        </w:rPr>
        <w:t>record.</w:t>
      </w:r>
    </w:p>
    <w:p w:rsidR="003B1F3B" w:rsidRDefault="003B1F3B">
      <w:pPr>
        <w:pStyle w:val="Standard"/>
        <w:rPr>
          <w:rFonts w:ascii="Arial" w:eastAsia="Arial" w:hAnsi="Arial" w:cs="Arial"/>
          <w:b/>
          <w:smallCaps/>
          <w:sz w:val="20"/>
          <w:szCs w:val="20"/>
        </w:rPr>
      </w:pPr>
      <w:bookmarkStart w:id="5" w:name="_3znysh7"/>
      <w:bookmarkEnd w:id="5"/>
    </w:p>
    <w:p w:rsidR="003B1F3B" w:rsidRDefault="003B1F3B">
      <w:pPr>
        <w:pStyle w:val="Standard"/>
        <w:keepNext/>
        <w:pageBreakBefore/>
        <w:rPr>
          <w:rFonts w:ascii="Arial" w:eastAsia="Arial" w:hAnsi="Arial" w:cs="Arial"/>
          <w:b/>
          <w:sz w:val="36"/>
          <w:szCs w:val="36"/>
        </w:rPr>
      </w:pPr>
    </w:p>
    <w:p w:rsidR="003B1F3B" w:rsidRDefault="003200FE">
      <w:pPr>
        <w:pStyle w:val="Heading1"/>
      </w:pPr>
      <w:bookmarkStart w:id="6" w:name="_joymubjco5mr"/>
      <w:bookmarkEnd w:id="6"/>
      <w:r>
        <w:t>Annex 1 – Relevant Convictions</w:t>
      </w:r>
    </w:p>
    <w:p w:rsidR="003B1F3B" w:rsidRDefault="003B1F3B">
      <w:pPr>
        <w:pStyle w:val="Standard"/>
        <w:rPr>
          <w:rFonts w:ascii="Arial" w:eastAsia="Arial" w:hAnsi="Arial" w:cs="Arial"/>
          <w:sz w:val="24"/>
          <w:szCs w:val="24"/>
        </w:rPr>
      </w:pPr>
    </w:p>
    <w:p w:rsidR="003B1F3B" w:rsidRDefault="003200FE">
      <w:pPr>
        <w:pStyle w:val="Standard"/>
        <w:widowControl/>
        <w:numPr>
          <w:ilvl w:val="0"/>
          <w:numId w:val="3"/>
        </w:numPr>
      </w:pPr>
      <w:r>
        <w:rPr>
          <w:rFonts w:ascii="Arial" w:eastAsia="Arial" w:hAnsi="Arial" w:cs="Arial"/>
          <w:sz w:val="24"/>
          <w:szCs w:val="24"/>
        </w:rPr>
        <w:t>offenses involving theft or fraud</w:t>
      </w:r>
    </w:p>
    <w:p w:rsidR="003B1F3B" w:rsidRDefault="003200FE">
      <w:pPr>
        <w:pStyle w:val="Standard"/>
        <w:widowControl/>
        <w:numPr>
          <w:ilvl w:val="0"/>
          <w:numId w:val="3"/>
        </w:numPr>
      </w:pPr>
      <w:r>
        <w:rPr>
          <w:rFonts w:ascii="Arial" w:eastAsia="Arial" w:hAnsi="Arial" w:cs="Arial"/>
          <w:sz w:val="24"/>
          <w:szCs w:val="24"/>
        </w:rPr>
        <w:t>offenses listed in the Terrorism Act 2006</w:t>
      </w:r>
    </w:p>
    <w:p w:rsidR="003B1F3B" w:rsidRDefault="003200FE">
      <w:pPr>
        <w:pStyle w:val="Standard"/>
        <w:widowControl/>
        <w:numPr>
          <w:ilvl w:val="0"/>
          <w:numId w:val="3"/>
        </w:numPr>
      </w:pPr>
      <w:r>
        <w:rPr>
          <w:rFonts w:ascii="Arial" w:eastAsia="Arial" w:hAnsi="Arial" w:cs="Arial"/>
          <w:sz w:val="24"/>
          <w:szCs w:val="24"/>
        </w:rPr>
        <w:t>offenses involving firearms</w:t>
      </w:r>
    </w:p>
    <w:p w:rsidR="003B1F3B" w:rsidRDefault="003200FE">
      <w:pPr>
        <w:pStyle w:val="Standard"/>
        <w:widowControl/>
        <w:numPr>
          <w:ilvl w:val="0"/>
          <w:numId w:val="3"/>
        </w:numPr>
      </w:pPr>
      <w:r>
        <w:rPr>
          <w:rFonts w:ascii="Arial" w:eastAsia="Arial" w:hAnsi="Arial" w:cs="Arial"/>
          <w:sz w:val="24"/>
          <w:szCs w:val="24"/>
        </w:rPr>
        <w:t>offenses listed in the Sex Offenses Act 2003</w:t>
      </w:r>
    </w:p>
    <w:p w:rsidR="003B1F3B" w:rsidRDefault="003200FE">
      <w:pPr>
        <w:pStyle w:val="Standard"/>
        <w:widowControl/>
        <w:numPr>
          <w:ilvl w:val="0"/>
          <w:numId w:val="3"/>
        </w:numPr>
      </w:pPr>
      <w:r>
        <w:rPr>
          <w:rFonts w:ascii="Arial" w:eastAsia="Arial" w:hAnsi="Arial" w:cs="Arial"/>
          <w:sz w:val="24"/>
          <w:szCs w:val="24"/>
        </w:rPr>
        <w:t>the unlawful supply of controlled drugs or substances</w:t>
      </w:r>
    </w:p>
    <w:p w:rsidR="003B1F3B" w:rsidRDefault="003200FE">
      <w:pPr>
        <w:pStyle w:val="Standard"/>
        <w:widowControl/>
        <w:numPr>
          <w:ilvl w:val="0"/>
          <w:numId w:val="3"/>
        </w:numPr>
      </w:pPr>
      <w:r>
        <w:rPr>
          <w:rFonts w:ascii="Arial" w:eastAsia="Arial" w:hAnsi="Arial" w:cs="Arial"/>
          <w:sz w:val="24"/>
          <w:szCs w:val="24"/>
        </w:rPr>
        <w:t xml:space="preserve">violence, </w:t>
      </w:r>
      <w:r>
        <w:rPr>
          <w:rFonts w:ascii="Arial" w:eastAsia="Arial" w:hAnsi="Arial" w:cs="Arial"/>
          <w:sz w:val="24"/>
          <w:szCs w:val="24"/>
        </w:rPr>
        <w:t xml:space="preserve">including (but not limited to) threatening behaviour, intention to harm, or actual bodily harm </w:t>
      </w:r>
    </w:p>
    <w:p w:rsidR="003B1F3B" w:rsidRDefault="003200FE">
      <w:pPr>
        <w:pStyle w:val="Standard"/>
        <w:widowControl/>
        <w:numPr>
          <w:ilvl w:val="0"/>
          <w:numId w:val="3"/>
        </w:numPr>
      </w:pPr>
      <w:r>
        <w:rPr>
          <w:rFonts w:ascii="Arial" w:eastAsia="Arial" w:hAnsi="Arial" w:cs="Arial"/>
          <w:sz w:val="24"/>
          <w:szCs w:val="24"/>
        </w:rPr>
        <w:t>offenses involving arson</w:t>
      </w:r>
    </w:p>
    <w:p w:rsidR="003B1F3B" w:rsidRDefault="003200FE">
      <w:pPr>
        <w:pStyle w:val="Standard"/>
        <w:widowControl/>
        <w:numPr>
          <w:ilvl w:val="0"/>
          <w:numId w:val="3"/>
        </w:numPr>
      </w:pPr>
      <w:r>
        <w:rPr>
          <w:rFonts w:ascii="Arial" w:eastAsia="Arial" w:hAnsi="Arial" w:cs="Arial"/>
          <w:sz w:val="24"/>
          <w:szCs w:val="24"/>
        </w:rPr>
        <w:t>offenses involving human trafficking, slavery and forced labour</w:t>
      </w:r>
    </w:p>
    <w:p w:rsidR="003B1F3B" w:rsidRDefault="003B1F3B">
      <w:pPr>
        <w:pStyle w:val="Standard"/>
        <w:widowControl/>
        <w:ind w:left="360"/>
        <w:rPr>
          <w:rFonts w:ascii="Arial" w:hAnsi="Arial" w:cs="Arial"/>
          <w:b/>
          <w:bCs/>
          <w:sz w:val="24"/>
          <w:szCs w:val="24"/>
        </w:rPr>
      </w:pPr>
    </w:p>
    <w:p w:rsidR="003B1F3B" w:rsidRDefault="003200FE">
      <w:pPr>
        <w:pStyle w:val="Standard"/>
        <w:widowControl/>
        <w:ind w:left="360"/>
      </w:pPr>
      <w:r>
        <w:rPr>
          <w:rFonts w:ascii="Arial" w:hAnsi="Arial" w:cs="Arial"/>
          <w:b/>
          <w:bCs/>
          <w:sz w:val="24"/>
          <w:szCs w:val="24"/>
        </w:rPr>
        <w:t>Spent Convictions</w:t>
      </w:r>
    </w:p>
    <w:p w:rsidR="003B1F3B" w:rsidRDefault="003200FE">
      <w:pPr>
        <w:pStyle w:val="Standard"/>
        <w:widowControl/>
        <w:numPr>
          <w:ilvl w:val="0"/>
          <w:numId w:val="3"/>
        </w:numPr>
        <w:tabs>
          <w:tab w:val="left" w:pos="2094"/>
        </w:tabs>
        <w:spacing w:before="120" w:after="120" w:line="240" w:lineRule="auto"/>
        <w:rPr>
          <w:rFonts w:ascii="Arial" w:hAnsi="Arial" w:cs="Arial"/>
          <w:sz w:val="24"/>
          <w:szCs w:val="24"/>
        </w:rPr>
      </w:pPr>
      <w:r>
        <w:rPr>
          <w:rFonts w:ascii="Arial" w:hAnsi="Arial" w:cs="Arial"/>
          <w:sz w:val="24"/>
          <w:szCs w:val="24"/>
        </w:rPr>
        <w:t>Convictions that are ‘spent’ (as defined by the Reha</w:t>
      </w:r>
      <w:r>
        <w:rPr>
          <w:rFonts w:ascii="Arial" w:hAnsi="Arial" w:cs="Arial"/>
          <w:sz w:val="24"/>
          <w:szCs w:val="24"/>
        </w:rPr>
        <w:t>bilitation Act 1974) or will be spent at the point of Contract Award do not need to be declared.</w:t>
      </w:r>
    </w:p>
    <w:p w:rsidR="003B1F3B" w:rsidRDefault="003200FE">
      <w:pPr>
        <w:pStyle w:val="Standard"/>
        <w:widowControl/>
        <w:numPr>
          <w:ilvl w:val="0"/>
          <w:numId w:val="3"/>
        </w:numPr>
        <w:tabs>
          <w:tab w:val="left" w:pos="2094"/>
        </w:tabs>
        <w:spacing w:before="120" w:after="120" w:line="240" w:lineRule="auto"/>
        <w:rPr>
          <w:rFonts w:ascii="Arial" w:hAnsi="Arial" w:cs="Arial"/>
          <w:sz w:val="24"/>
          <w:szCs w:val="24"/>
        </w:rPr>
      </w:pPr>
      <w:r>
        <w:rPr>
          <w:rFonts w:ascii="Arial" w:hAnsi="Arial" w:cs="Arial"/>
          <w:sz w:val="24"/>
          <w:szCs w:val="24"/>
        </w:rPr>
        <w:t>If you are uncertain as to whether the conviction is spent, please seek independent advice.</w:t>
      </w:r>
    </w:p>
    <w:p w:rsidR="003B1F3B" w:rsidRDefault="003B1F3B">
      <w:pPr>
        <w:pStyle w:val="Standard"/>
        <w:widowControl/>
      </w:pPr>
    </w:p>
    <w:sectPr w:rsidR="003B1F3B">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0FE" w:rsidRDefault="003200FE">
      <w:r>
        <w:separator/>
      </w:r>
    </w:p>
  </w:endnote>
  <w:endnote w:type="continuationSeparator" w:id="0">
    <w:p w:rsidR="003200FE" w:rsidRDefault="0032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6CF" w:rsidRDefault="003200FE">
    <w:pPr>
      <w:pStyle w:val="Standard"/>
      <w:tabs>
        <w:tab w:val="center" w:pos="4513"/>
        <w:tab w:val="right" w:pos="9026"/>
      </w:tabs>
      <w:spacing w:after="0" w:line="240" w:lineRule="auto"/>
      <w:rPr>
        <w:rFonts w:ascii="Arial" w:eastAsia="Arial" w:hAnsi="Arial" w:cs="Arial"/>
        <w:sz w:val="20"/>
        <w:szCs w:val="20"/>
      </w:rPr>
    </w:pPr>
  </w:p>
  <w:p w:rsidR="00F516CF" w:rsidRDefault="003200FE">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rsidR="00F516CF" w:rsidRDefault="003200FE">
    <w:pPr>
      <w:pStyle w:val="Standard"/>
      <w:spacing w:after="0" w:line="240" w:lineRule="auto"/>
      <w:jc w:val="both"/>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0FE" w:rsidRDefault="003200FE">
      <w:r>
        <w:rPr>
          <w:color w:val="000000"/>
        </w:rPr>
        <w:separator/>
      </w:r>
    </w:p>
  </w:footnote>
  <w:footnote w:type="continuationSeparator" w:id="0">
    <w:p w:rsidR="003200FE" w:rsidRDefault="0032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6CF" w:rsidRDefault="003200FE">
    <w:pPr>
      <w:pStyle w:val="Standard"/>
      <w:widowControl/>
      <w:tabs>
        <w:tab w:val="center" w:pos="4513"/>
        <w:tab w:val="right" w:pos="9026"/>
      </w:tabs>
      <w:spacing w:after="0" w:line="240" w:lineRule="auto"/>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top</wp:align>
              </wp:positionV>
              <wp:extent cx="443868" cy="443868"/>
              <wp:effectExtent l="0" t="0" r="13332" b="13332"/>
              <wp:wrapNone/>
              <wp:docPr id="1" name="Text Box 3" descr="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rsidR="00F516CF" w:rsidRDefault="003200FE">
                          <w:pPr>
                            <w:rPr>
                              <w:color w:val="000000"/>
                              <w:sz w:val="20"/>
                              <w:szCs w:val="20"/>
                            </w:rPr>
                          </w:pPr>
                          <w:r>
                            <w:rPr>
                              <w:color w:val="000000"/>
                              <w:sz w:val="20"/>
                              <w:szCs w:val="20"/>
                            </w:rPr>
                            <w:t>OFFICIAL</w:t>
                          </w:r>
                        </w:p>
                      </w:txbxContent>
                    </wps:txbx>
                    <wps:bodyPr vert="horz" wrap="none" lIns="0" tIns="190496" rIns="0" bIns="0" anchor="t" anchorCtr="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alt="OFFICIAL" style="position:absolute;margin-left:0;margin-top:0;width:34.95pt;height:34.95pt;z-index:251659264;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" filled="f" stroked="f">
              <v:textbox style="mso-fit-shape-to-text:t" inset="0,5.29156mm,0,0">
                <w:txbxContent>
                  <w:p w:rsidR="00F516CF" w:rsidRDefault="003200FE">
                    <w:pPr>
                      <w:rPr>
                        <w:color w:val="000000"/>
                        <w:sz w:val="20"/>
                        <w:szCs w:val="20"/>
                      </w:rPr>
                    </w:pPr>
                    <w:r>
                      <w:rPr>
                        <w:color w:val="000000"/>
                        <w:sz w:val="20"/>
                        <w:szCs w:val="20"/>
                      </w:rPr>
                      <w:t>OFFICIAL</w:t>
                    </w:r>
                  </w:p>
                </w:txbxContent>
              </v:textbox>
              <w10:wrap anchorx="page" anchory="page"/>
            </v:shape>
          </w:pict>
        </mc:Fallback>
      </mc:AlternateContent>
    </w:r>
    <w:r>
      <w:rPr>
        <w:rFonts w:ascii="Arial" w:eastAsia="Arial" w:hAnsi="Arial" w:cs="Arial"/>
        <w:b/>
        <w:color w:val="000000"/>
        <w:sz w:val="20"/>
        <w:szCs w:val="20"/>
      </w:rPr>
      <w:t>Call-Off Schedule 18 (Background Checks)</w:t>
    </w:r>
  </w:p>
  <w:p w:rsidR="00F516CF" w:rsidRDefault="003200FE">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rsidR="00F516CF" w:rsidRDefault="003200FE">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p w:rsidR="00F516CF" w:rsidRDefault="003200FE">
    <w:pPr>
      <w:pStyle w:val="Standard"/>
      <w:widowControl/>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DFF"/>
    <w:multiLevelType w:val="multilevel"/>
    <w:tmpl w:val="B35C4278"/>
    <w:styleLink w:val="WWNum1"/>
    <w:lvl w:ilvl="0">
      <w:start w:val="1"/>
      <w:numFmt w:val="decimal"/>
      <w:lvlText w:val="%1."/>
      <w:lvlJc w:val="left"/>
      <w:pPr>
        <w:ind w:left="720" w:hanging="720"/>
      </w:pPr>
      <w:rPr>
        <w:rFonts w:ascii="Calibri" w:eastAsia="Arial Bold" w:hAnsi="Calibri" w:cs="Calibri"/>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Calibri" w:hAnsi="Calibri" w:cs="Calibri"/>
        <w:b w:val="0"/>
        <w:i w:val="0"/>
        <w:caps w:val="0"/>
        <w:smallCaps w:val="0"/>
        <w:strike w:val="0"/>
        <w:dstrike w:val="0"/>
        <w:color w:val="000000"/>
        <w:position w:val="0"/>
        <w:sz w:val="22"/>
        <w:szCs w:val="22"/>
        <w:u w:val="none"/>
        <w:vertAlign w:val="baseline"/>
      </w:rPr>
    </w:lvl>
    <w:lvl w:ilvl="2">
      <w:start w:val="1"/>
      <w:numFmt w:val="decimal"/>
      <w:lvlText w:val="%1.%2.%3"/>
      <w:lvlJc w:val="left"/>
      <w:pPr>
        <w:ind w:left="1996"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FC6126"/>
    <w:multiLevelType w:val="multilevel"/>
    <w:tmpl w:val="80107D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B1F3B"/>
    <w:rsid w:val="003200FE"/>
    <w:rsid w:val="003B1F3B"/>
    <w:rsid w:val="008F3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F29CD5-3417-4633-BB9C-9BC0FDC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2024-09-25T07:22:00Z</dcterms:created>
  <dcterms:modified xsi:type="dcterms:W3CDTF">2024-09-25T07:22:00Z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MSIP_Label_8577031b-11bc-4db9-b655-7d79027ad570_Enabled">
    <vt:lpwstr>true</vt:lpwstr>
  </property>
  <property fmtid="{D5CDD505-2E9C-101B-9397-08002B2CF9AE}" pid="6" name="MSIP_Label_8577031b-11bc-4db9-b655-7d79027ad570_SetDate">
    <vt:lpwstr>2024-09-20T12:24:33Z</vt:lpwstr>
  </property>
  <property fmtid="{D5CDD505-2E9C-101B-9397-08002B2CF9AE}" pid="7" name="MSIP_Label_8577031b-11bc-4db9-b655-7d79027ad570_Method">
    <vt:lpwstr>Standard</vt:lpwstr>
  </property>
  <property fmtid="{D5CDD505-2E9C-101B-9397-08002B2CF9AE}" pid="8" name="MSIP_Label_8577031b-11bc-4db9-b655-7d79027ad570_Name">
    <vt:lpwstr>8577031b-11bc-4db9-b655-7d79027ad570</vt:lpwstr>
  </property>
  <property fmtid="{D5CDD505-2E9C-101B-9397-08002B2CF9AE}" pid="9" name="MSIP_Label_8577031b-11bc-4db9-b655-7d79027ad570_SiteId">
    <vt:lpwstr>c22cc3e1-5d7f-4f4d-be03-d5a158cc9409</vt:lpwstr>
  </property>
  <property fmtid="{D5CDD505-2E9C-101B-9397-08002B2CF9AE}" pid="10" name="MSIP_Label_8577031b-11bc-4db9-b655-7d79027ad570_ActionId">
    <vt:lpwstr>bdd9201f-b786-410a-bed1-75c05ac3d249</vt:lpwstr>
  </property>
  <property fmtid="{D5CDD505-2E9C-101B-9397-08002B2CF9AE}" pid="11" name="MSIP_Label_8577031b-11bc-4db9-b655-7d79027ad570_ContentBits">
    <vt:lpwstr>1</vt:lpwstr>
  </property>
</Properties>
</file>